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THE WHOLISTIC EDUCATIONAL SYSTEM: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A MULTIDIMENSIONAL, DEVELOPMENTAL APPROACH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CONTENTS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(Updated: 4/4/2025)</w:t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    Page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List of Figures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Forward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Acknowledgements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Chapter 1: The Origins and Development of The Wholistic Educational System (WES)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Chapter 2: The Major Components of The Wholistic Educational System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Chapter 3: Divine Guidance: How Various Sources of Spiritual Illumination Inform WES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Chapter 4: Process Philosophy of Reality: Its Role and How It Informs WES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Chapter 5: Science: Its Role and How It Informs WES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Chapter 6: The Arts and Other Humanities: Their Role and How They Inform WES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Chapter 7: The Educational Philosophy of WES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 xml:space="preserve">      The Key Organizing Principle and Other First Principles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      Corollary Principles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Chapter 8: The Theory of Development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Chapter 9: The Theory of Learning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Chapter 10: The Theory of Curriculum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Chapter 11: The Curriculum Framework Charts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Chapter 12: Six Categories of the Environment</w:t>
      </w:r>
    </w:p>
    <w:p w:rsidR="00000000" w:rsidDel="00000000" w:rsidP="00000000" w:rsidRDefault="00000000" w:rsidRPr="00000000" w14:paraId="0000001A">
      <w:pPr>
        <w:ind w:left="786" w:firstLine="0"/>
        <w:rPr/>
      </w:pPr>
      <w:r w:rsidDel="00000000" w:rsidR="00000000" w:rsidRPr="00000000">
        <w:rPr>
          <w:rtl w:val="0"/>
        </w:rPr>
        <w:t xml:space="preserve">         The Physical Environment</w:t>
      </w:r>
    </w:p>
    <w:p w:rsidR="00000000" w:rsidDel="00000000" w:rsidP="00000000" w:rsidRDefault="00000000" w:rsidRPr="00000000" w14:paraId="0000001B">
      <w:pPr>
        <w:ind w:left="786" w:firstLine="0"/>
        <w:rPr/>
      </w:pPr>
      <w:r w:rsidDel="00000000" w:rsidR="00000000" w:rsidRPr="00000000">
        <w:rPr>
          <w:rtl w:val="0"/>
        </w:rPr>
        <w:t xml:space="preserve">         The Social Environment</w:t>
      </w:r>
    </w:p>
    <w:p w:rsidR="00000000" w:rsidDel="00000000" w:rsidP="00000000" w:rsidRDefault="00000000" w:rsidRPr="00000000" w14:paraId="0000001C">
      <w:pPr>
        <w:ind w:left="786" w:firstLine="0"/>
        <w:rPr/>
      </w:pPr>
      <w:r w:rsidDel="00000000" w:rsidR="00000000" w:rsidRPr="00000000">
        <w:rPr>
          <w:rtl w:val="0"/>
        </w:rPr>
        <w:t xml:space="preserve">         The Psychological Environment</w:t>
      </w:r>
    </w:p>
    <w:p w:rsidR="00000000" w:rsidDel="00000000" w:rsidP="00000000" w:rsidRDefault="00000000" w:rsidRPr="00000000" w14:paraId="0000001D">
      <w:pPr>
        <w:ind w:left="786" w:firstLine="0"/>
        <w:rPr/>
      </w:pPr>
      <w:r w:rsidDel="00000000" w:rsidR="00000000" w:rsidRPr="00000000">
        <w:rPr>
          <w:rtl w:val="0"/>
        </w:rPr>
        <w:t xml:space="preserve">         The Spiritual Environment</w:t>
      </w:r>
    </w:p>
    <w:p w:rsidR="00000000" w:rsidDel="00000000" w:rsidP="00000000" w:rsidRDefault="00000000" w:rsidRPr="00000000" w14:paraId="0000001E">
      <w:pPr>
        <w:ind w:left="786" w:firstLine="0"/>
        <w:rPr/>
      </w:pPr>
      <w:r w:rsidDel="00000000" w:rsidR="00000000" w:rsidRPr="00000000">
        <w:rPr>
          <w:rtl w:val="0"/>
        </w:rPr>
        <w:t xml:space="preserve">         The Environment of the Known, the Unknown but Knowable, and the</w:t>
      </w:r>
    </w:p>
    <w:p w:rsidR="00000000" w:rsidDel="00000000" w:rsidP="00000000" w:rsidRDefault="00000000" w:rsidRPr="00000000" w14:paraId="0000001F">
      <w:pPr>
        <w:ind w:left="786" w:firstLine="654"/>
        <w:rPr/>
      </w:pPr>
      <w:r w:rsidDel="00000000" w:rsidR="00000000" w:rsidRPr="00000000">
        <w:rPr>
          <w:rtl w:val="0"/>
        </w:rPr>
        <w:t xml:space="preserve"> Ultimately Unknowable (A Cross-Environmental Domain)</w:t>
      </w:r>
    </w:p>
    <w:p w:rsidR="00000000" w:rsidDel="00000000" w:rsidP="00000000" w:rsidRDefault="00000000" w:rsidRPr="00000000" w14:paraId="00000020">
      <w:pPr>
        <w:ind w:left="786" w:firstLine="0"/>
        <w:rPr/>
      </w:pPr>
      <w:r w:rsidDel="00000000" w:rsidR="00000000" w:rsidRPr="00000000">
        <w:rPr>
          <w:rtl w:val="0"/>
        </w:rPr>
        <w:t xml:space="preserve">         The Environment of the Self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Chapter 13: The Curricular Strands</w:t>
      </w:r>
    </w:p>
    <w:p w:rsidR="00000000" w:rsidDel="00000000" w:rsidP="00000000" w:rsidRDefault="00000000" w:rsidRPr="00000000" w14:paraId="00000022">
      <w:pPr>
        <w:ind w:left="786" w:firstLine="0"/>
        <w:rPr/>
      </w:pPr>
      <w:r w:rsidDel="00000000" w:rsidR="00000000" w:rsidRPr="00000000">
        <w:rPr>
          <w:rtl w:val="0"/>
        </w:rPr>
        <w:tab/>
        <w:t xml:space="preserve">The Eight Basic Curricular Strands       </w:t>
      </w:r>
    </w:p>
    <w:p w:rsidR="00000000" w:rsidDel="00000000" w:rsidP="00000000" w:rsidRDefault="00000000" w:rsidRPr="00000000" w14:paraId="00000023">
      <w:pPr>
        <w:ind w:left="786" w:firstLine="654"/>
        <w:rPr/>
      </w:pPr>
      <w:r w:rsidDel="00000000" w:rsidR="00000000" w:rsidRPr="00000000">
        <w:rPr>
          <w:rtl w:val="0"/>
        </w:rPr>
        <w:t xml:space="preserve">  The Process Curriculum</w:t>
      </w:r>
    </w:p>
    <w:p w:rsidR="00000000" w:rsidDel="00000000" w:rsidP="00000000" w:rsidRDefault="00000000" w:rsidRPr="00000000" w14:paraId="00000024">
      <w:pPr>
        <w:ind w:left="786" w:firstLine="0"/>
        <w:rPr/>
      </w:pPr>
      <w:r w:rsidDel="00000000" w:rsidR="00000000" w:rsidRPr="00000000">
        <w:rPr>
          <w:rtl w:val="0"/>
        </w:rPr>
        <w:t xml:space="preserve">             The Content Curriculum</w:t>
      </w:r>
    </w:p>
    <w:p w:rsidR="00000000" w:rsidDel="00000000" w:rsidP="00000000" w:rsidRDefault="00000000" w:rsidRPr="00000000" w14:paraId="00000025">
      <w:pPr>
        <w:ind w:left="786" w:firstLine="0"/>
        <w:rPr/>
      </w:pPr>
      <w:r w:rsidDel="00000000" w:rsidR="00000000" w:rsidRPr="00000000">
        <w:rPr>
          <w:rtl w:val="0"/>
        </w:rPr>
        <w:t xml:space="preserve">             Skills</w:t>
      </w:r>
    </w:p>
    <w:p w:rsidR="00000000" w:rsidDel="00000000" w:rsidP="00000000" w:rsidRDefault="00000000" w:rsidRPr="00000000" w14:paraId="00000026">
      <w:pPr>
        <w:ind w:left="786" w:firstLine="0"/>
        <w:rPr/>
      </w:pPr>
      <w:r w:rsidDel="00000000" w:rsidR="00000000" w:rsidRPr="00000000">
        <w:rPr>
          <w:rtl w:val="0"/>
        </w:rPr>
        <w:t xml:space="preserve">             Symbol Systems</w:t>
      </w:r>
    </w:p>
    <w:p w:rsidR="00000000" w:rsidDel="00000000" w:rsidP="00000000" w:rsidRDefault="00000000" w:rsidRPr="00000000" w14:paraId="00000027">
      <w:pPr>
        <w:ind w:left="786" w:firstLine="0"/>
        <w:rPr/>
      </w:pPr>
      <w:r w:rsidDel="00000000" w:rsidR="00000000" w:rsidRPr="00000000">
        <w:rPr>
          <w:rtl w:val="0"/>
        </w:rPr>
        <w:t xml:space="preserve">             Habits, Values, and Virtues</w:t>
      </w:r>
    </w:p>
    <w:p w:rsidR="00000000" w:rsidDel="00000000" w:rsidP="00000000" w:rsidRDefault="00000000" w:rsidRPr="00000000" w14:paraId="00000028">
      <w:pPr>
        <w:ind w:left="786" w:firstLine="0"/>
        <w:rPr/>
      </w:pPr>
      <w:r w:rsidDel="00000000" w:rsidR="00000000" w:rsidRPr="00000000">
        <w:rPr>
          <w:rtl w:val="0"/>
        </w:rPr>
        <w:t xml:space="preserve">             Ideals</w:t>
      </w:r>
    </w:p>
    <w:p w:rsidR="00000000" w:rsidDel="00000000" w:rsidP="00000000" w:rsidRDefault="00000000" w:rsidRPr="00000000" w14:paraId="00000029">
      <w:pPr>
        <w:ind w:left="786" w:firstLine="0"/>
        <w:rPr/>
      </w:pPr>
      <w:r w:rsidDel="00000000" w:rsidR="00000000" w:rsidRPr="00000000">
        <w:rPr>
          <w:rtl w:val="0"/>
        </w:rPr>
        <w:t xml:space="preserve">             Higher-Order Competencies</w:t>
      </w:r>
    </w:p>
    <w:p w:rsidR="00000000" w:rsidDel="00000000" w:rsidP="00000000" w:rsidRDefault="00000000" w:rsidRPr="00000000" w14:paraId="0000002A">
      <w:pPr>
        <w:ind w:left="786" w:firstLine="0"/>
        <w:rPr/>
      </w:pPr>
      <w:r w:rsidDel="00000000" w:rsidR="00000000" w:rsidRPr="00000000">
        <w:rPr>
          <w:rtl w:val="0"/>
        </w:rPr>
        <w:t xml:space="preserve">             The Curriculum of the Self</w:t>
      </w:r>
    </w:p>
    <w:p w:rsidR="00000000" w:rsidDel="00000000" w:rsidP="00000000" w:rsidRDefault="00000000" w:rsidRPr="00000000" w14:paraId="0000002B">
      <w:pPr>
        <w:ind w:left="786" w:firstLine="0"/>
        <w:rPr/>
      </w:pPr>
      <w:r w:rsidDel="00000000" w:rsidR="00000000" w:rsidRPr="00000000">
        <w:rPr>
          <w:rtl w:val="0"/>
        </w:rPr>
        <w:tab/>
        <w:t xml:space="preserve">The Four Supplementary Curricular Strands</w:t>
      </w:r>
    </w:p>
    <w:p w:rsidR="00000000" w:rsidDel="00000000" w:rsidP="00000000" w:rsidRDefault="00000000" w:rsidRPr="00000000" w14:paraId="0000002C">
      <w:pPr>
        <w:ind w:left="786" w:firstLine="0"/>
        <w:rPr/>
      </w:pPr>
      <w:r w:rsidDel="00000000" w:rsidR="00000000" w:rsidRPr="00000000">
        <w:rPr>
          <w:rtl w:val="0"/>
        </w:rPr>
        <w:tab/>
        <w:t xml:space="preserve">   Causation</w:t>
      </w:r>
    </w:p>
    <w:p w:rsidR="00000000" w:rsidDel="00000000" w:rsidP="00000000" w:rsidRDefault="00000000" w:rsidRPr="00000000" w14:paraId="0000002D">
      <w:pPr>
        <w:ind w:left="786" w:firstLine="0"/>
        <w:rPr/>
      </w:pPr>
      <w:r w:rsidDel="00000000" w:rsidR="00000000" w:rsidRPr="00000000">
        <w:rPr>
          <w:rtl w:val="0"/>
        </w:rPr>
        <w:tab/>
        <w:t xml:space="preserve">   Regulatory Systems (Laws)</w:t>
      </w:r>
    </w:p>
    <w:p w:rsidR="00000000" w:rsidDel="00000000" w:rsidP="00000000" w:rsidRDefault="00000000" w:rsidRPr="00000000" w14:paraId="0000002E">
      <w:pPr>
        <w:ind w:left="786" w:firstLine="0"/>
        <w:rPr/>
      </w:pPr>
      <w:r w:rsidDel="00000000" w:rsidR="00000000" w:rsidRPr="00000000">
        <w:rPr>
          <w:rtl w:val="0"/>
        </w:rPr>
        <w:tab/>
        <w:t xml:space="preserve">   Negative Prehension</w:t>
      </w:r>
    </w:p>
    <w:p w:rsidR="00000000" w:rsidDel="00000000" w:rsidP="00000000" w:rsidRDefault="00000000" w:rsidRPr="00000000" w14:paraId="0000002F">
      <w:pPr>
        <w:ind w:left="786" w:firstLine="0"/>
        <w:rPr/>
      </w:pPr>
      <w:r w:rsidDel="00000000" w:rsidR="00000000" w:rsidRPr="00000000">
        <w:rPr>
          <w:rtl w:val="0"/>
        </w:rPr>
        <w:tab/>
        <w:t xml:space="preserve">   Role Models, Heroines, Heroes, and Leaders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Chapter 14: The Theory of Teaching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Chapter 15: The Theory of Administration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Chapter 16: The Theory of Learning Community-Environment Relations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Chapter 17: Praxis: Its Role and How It Informs WES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Chapter 18: The Theory of Evaluation and Its Roll in Systemic Self-Renewal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Chapter 19: The Uses of The Wholistic Educational System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                    The Creation of Comprehensive and Coherent Educational Programs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                   Identification of Strengths and Gaps in Extant Educational Programs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ab/>
        <w:t xml:space="preserve">           Putting WES into Practice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Chapter 20: The Current Status and Future Prospects of WES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Glossary (systemic definitions of terminology)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Appendix A: A Curriculum Design Beginning One Year before Conception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                    and Ending at Age Fifteen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Appendix B: Physical Plant Design Patterns for Schools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Appendix C: Classroom Design Patterns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Appendix D: Furniture and Storage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Appendix E: Learning Center Designs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Appendix F: Sample Record-keeping Forms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Appendix G: Sample Report Cards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Bibliography (in addition to “For Further Reading:” at the end of each chapter)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End Notes (with added subheadings providing the chapter numbers and titles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Index (to be done by the software)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lang w:eastAsia="es-CO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s8XLzdOai9Y3PaPutkRRvgnjsw==">CgMxLjA4AHIhMUlUYjhsZ18yZlpodEt3Tmd0Ul9PeUM3OG13M0I4djh2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2024-02-15T14:18:00Z</dcterms:created>
  <dc:creator>mslab3</dc:creator>
</cp:coreProperties>
</file>